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30" w:rsidRPr="00C25C30" w:rsidRDefault="00C25C30" w:rsidP="00C25C30">
      <w:pPr>
        <w:spacing w:before="450"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5C3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БАНК ДОКУМЕНТОВ</w:t>
      </w:r>
    </w:p>
    <w:p w:rsidR="00C25C30" w:rsidRPr="00C25C30" w:rsidRDefault="00C25C30" w:rsidP="00C25C30">
      <w:pPr>
        <w:spacing w:before="150" w:after="150" w:line="33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​ФЕДЕРАЛЬНЫЙ УРОВЕНЬ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5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Указ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Президента РФ от 07.05.2018 № 204 "О национальных целях и стратегических задачах развития Российской Федерации на период до 2024 года" 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6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Приказ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proofErr w:type="spellStart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Рособрнадзора</w:t>
      </w:r>
      <w:proofErr w:type="spellEnd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 xml:space="preserve"> №590, </w:t>
      </w:r>
      <w:proofErr w:type="spellStart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Минпросвещения</w:t>
      </w:r>
      <w:proofErr w:type="spellEnd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 xml:space="preserve"> России  №219от 06.05.2019"Об утверждении методологии и критериев оценки качества общего образования в общеобразовательных организациях на основе практики международных исследований качества подготовки обучающихся"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7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Письмо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Министерства просвещения Российской Федерации от 26.01.2021 № ТВ-94/04 "Об электронном банке тренировочных заданий по оценке функциональной грамотности"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8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​Письмо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Департамента государственной политики и управления в сфере общего образования Министерства просвещения Российской Федерации от 14.09.2021 № 03-1510 «Об организации работы по повышению функциональной грамотности»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9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​Письмо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Министерства просвещения Российской Федерации  от 15.09.2021 № АЗ-581/03 «Об организации работы по повышению  качества образования в субъектах Российской Федерации»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10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​Письмо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Департамента государственной политики и управления в сфере общего образования Министерства просвещения Российской Федерации от 17.09.2021 № 03-1526 «О методическом обеспечении  работы по повышению функциональной грамотности»</w:t>
      </w:r>
    </w:p>
    <w:p w:rsidR="00C25C30" w:rsidRPr="00C25C30" w:rsidRDefault="00C25C30" w:rsidP="00C25C30">
      <w:pPr>
        <w:spacing w:before="150" w:after="150" w:line="33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РЕГИОНАЛЬНЫЙ УРОВЕНЬ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​​</w:t>
      </w:r>
      <w:hyperlink r:id="rId11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Приказ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proofErr w:type="spellStart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ДОиМП</w:t>
      </w:r>
      <w:proofErr w:type="spellEnd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 xml:space="preserve"> ХМАО - Югры от 16.09.2021 № 10-П-1233  "Об организации работы по повышению функциональной грамотности обучающихся общеобразовательных организаций Ханты-Мансийского автономного округа - Югры​​"</w:t>
      </w:r>
      <w:hyperlink r:id="rId12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</w:t>
        </w:r>
      </w:hyperlink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​</w:t>
      </w:r>
      <w:hyperlink r:id="rId13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Приказ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proofErr w:type="spellStart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ДОиМП</w:t>
      </w:r>
      <w:proofErr w:type="spellEnd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 xml:space="preserve"> ХМАО - Югры от 20.09.2021 № 10-П-1244​ "Об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Ханты-Мансийского автономного округа – Югры на 2021-2022 учебный год​"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​</w:t>
      </w:r>
      <w:hyperlink r:id="rId14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Приказ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proofErr w:type="spellStart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ДОиМП</w:t>
      </w:r>
      <w:proofErr w:type="spellEnd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 xml:space="preserve"> ХМАО - Югры​ от 20.12.2021 № 10-П-1814 "О внесении изменения в приказ Департамента образования и молодежной политики Ханты-Мансийского автономного округа – Югры от 20.09.2021 № 10-П-1244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Ханты-Мансийского автономного округа – Югры на 2021-2022 учебный год»"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15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​Приказ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proofErr w:type="spellStart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ДОиН</w:t>
      </w:r>
      <w:proofErr w:type="spellEnd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 xml:space="preserve"> ХМАО - Югры от 11.04.2022 № 10-П-583 "Об организации </w:t>
      </w:r>
      <w:proofErr w:type="spellStart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стажировочных</w:t>
      </w:r>
      <w:proofErr w:type="spellEnd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площадок на базе образовательных организаций Ханты-Мансийского автономного округа – </w:t>
      </w: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Югры, имеющих положительный опыт по формированию и оценке функциональной грамотности обучающихся, в 2021-2022 учебном году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16" w:tgtFrame="_blank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Приказ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</w:t>
      </w:r>
      <w:proofErr w:type="spellStart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ДОиН</w:t>
      </w:r>
      <w:proofErr w:type="spellEnd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 xml:space="preserve"> ХМАО – Югры от 16.06.2022 № 10-П-1188 «О признании образовательных организаций Ханты-Мансийского автономного округа – Югры </w:t>
      </w:r>
      <w:proofErr w:type="spellStart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стажировочными</w:t>
      </w:r>
      <w:proofErr w:type="spellEnd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площадками по формированию и оценке функциональной грамотности обучающихся»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17" w:tgtFrame="_blank" w:history="1">
        <w:proofErr w:type="spellStart"/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Приказ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ДОиН</w:t>
      </w:r>
      <w:proofErr w:type="spellEnd"/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 xml:space="preserve"> ХМАО – Югры от 06.09.2022 № 10-П-1857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Ханты-Мансийского автономного округа – Югры на 2022-2023 учебный год»​</w:t>
      </w:r>
    </w:p>
    <w:p w:rsidR="00C25C30" w:rsidRPr="00C25C30" w:rsidRDefault="00C25C30" w:rsidP="00C25C30">
      <w:pPr>
        <w:spacing w:before="150" w:after="150" w:line="330" w:lineRule="atLeast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МУНИЦИПАЛЬНЫЙ УРОВЕНЬ</w:t>
      </w:r>
      <w:hyperlink r:id="rId18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</w:t>
        </w:r>
      </w:hyperlink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​</w:t>
      </w:r>
      <w:hyperlink r:id="rId19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Приказ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ДО АГ от 17.09.2021 № 12-03-591/1​ "Об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города Сургута на 2021/22 учебный год"</w:t>
      </w:r>
    </w:p>
    <w:p w:rsidR="00C25C30" w:rsidRPr="00C25C30" w:rsidRDefault="00C25C30" w:rsidP="00C25C30">
      <w:pPr>
        <w:spacing w:before="150" w:after="15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​</w:t>
      </w:r>
      <w:hyperlink r:id="rId20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​Приказ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ДО АГ от 30.12.2021 № 12-03-936/1 ​​​"О внесении изменения в приказ департамента образования от 17.09.2021 № 12-03-591/1 «Об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города Сургута в 2021/22 учебном году»​"</w:t>
      </w:r>
    </w:p>
    <w:p w:rsidR="00C25C30" w:rsidRPr="00C25C30" w:rsidRDefault="00C25C30" w:rsidP="00C25C30">
      <w:pPr>
        <w:spacing w:after="0" w:line="330" w:lineRule="atLeast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21" w:tgtFrame="_blank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Приказ</w:t>
        </w:r>
      </w:hyperlink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 ДО АГ от 08.09.2022 № 12-03-712/2 «Об  утверждении плана мероприятий  («дорожная карта»), направленных на формирование и оценку функциональной грамотности обучающихся муниципальных общеобразовательных учреждений города Сургута в 2022/23 учебном году»</w:t>
      </w:r>
      <w:hyperlink r:id="rId22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</w:t>
        </w:r>
      </w:hyperlink>
    </w:p>
    <w:bookmarkStart w:id="0" w:name="_GoBack"/>
    <w:bookmarkEnd w:id="0"/>
    <w:p w:rsidR="00C25C30" w:rsidRPr="00C25C30" w:rsidRDefault="00C25C30" w:rsidP="00C25C30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fldChar w:fldCharType="begin"/>
      </w: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instrText xml:space="preserve"> HYPERLINK "https://fg.resh.edu.ru/" \t "_blank" </w:instrText>
      </w: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fldChar w:fldCharType="separate"/>
      </w:r>
      <w:r w:rsidRPr="00C25C30">
        <w:rPr>
          <w:rFonts w:ascii="Helvetica" w:eastAsia="Times New Roman" w:hAnsi="Helvetica" w:cs="Helvetica"/>
          <w:color w:val="31548B"/>
          <w:sz w:val="21"/>
          <w:szCs w:val="21"/>
          <w:lang w:eastAsia="ru-RU"/>
        </w:rPr>
        <w:t>Электронный банк заданий для оценки функциональной грамотности // fg.resh.edu.ru</w:t>
      </w: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fldChar w:fldCharType="end"/>
      </w:r>
    </w:p>
    <w:p w:rsidR="00C25C30" w:rsidRPr="00C25C30" w:rsidRDefault="00C25C30" w:rsidP="00C25C30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23" w:tgtFrame="_blank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Руководство пользователя для получения доступа к банку заданий</w:t>
        </w:r>
      </w:hyperlink>
    </w:p>
    <w:p w:rsidR="00C25C30" w:rsidRPr="00C25C30" w:rsidRDefault="00C25C30" w:rsidP="00C25C30">
      <w:pPr>
        <w:numPr>
          <w:ilvl w:val="0"/>
          <w:numId w:val="2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24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​Подробная инструкция по работе с системой</w:t>
        </w:r>
      </w:hyperlink>
    </w:p>
    <w:p w:rsidR="00C25C30" w:rsidRPr="00C25C30" w:rsidRDefault="00C25C30" w:rsidP="00C25C30">
      <w:pPr>
        <w:spacing w:before="450" w:after="300" w:line="240" w:lineRule="auto"/>
        <w:outlineLvl w:val="3"/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</w:pPr>
      <w:r w:rsidRPr="00C25C30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t>Иные ресурсы и полезные ссылки по формированию и оценке функциональной грамотности</w:t>
      </w:r>
    </w:p>
    <w:p w:rsidR="00C25C30" w:rsidRPr="00C25C30" w:rsidRDefault="00C25C30" w:rsidP="00C25C30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25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Задания на формирование функциональной грамотности для учеников 1–9 классов от авторов, занимающихся программой оценки // ГК "</w:t>
        </w:r>
        <w:proofErr w:type="spellStart"/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Просвещение"</w:t>
        </w:r>
      </w:hyperlink>
      <w:r w:rsidRPr="00C25C30">
        <w:rPr>
          <w:rFonts w:ascii="Helvetica" w:eastAsia="Times New Roman" w:hAnsi="Helvetica" w:cs="Helvetica"/>
          <w:sz w:val="18"/>
          <w:szCs w:val="18"/>
          <w:lang w:eastAsia="ru-RU"/>
        </w:rPr>
        <w:t>PISA</w:t>
      </w:r>
      <w:proofErr w:type="spellEnd"/>
    </w:p>
    <w:p w:rsidR="00C25C30" w:rsidRPr="00C25C30" w:rsidRDefault="00C25C30" w:rsidP="00C25C30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26" w:tgtFrame="_blank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 // center-imc.ru</w:t>
        </w:r>
      </w:hyperlink>
    </w:p>
    <w:p w:rsidR="00C25C30" w:rsidRPr="00C25C30" w:rsidRDefault="00C25C30" w:rsidP="00C25C30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27" w:tgtFrame="_blank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Открытые задания PISA</w:t>
        </w:r>
      </w:hyperlink>
    </w:p>
    <w:p w:rsidR="00C25C30" w:rsidRPr="00C25C30" w:rsidRDefault="00C25C30" w:rsidP="00C25C30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28" w:tgtFrame="_blank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Сборники эталонных заданий серии «Функциональная грамотность. Учимся для жизни» издательства «Просвещение»</w:t>
        </w:r>
      </w:hyperlink>
    </w:p>
    <w:p w:rsidR="00C25C30" w:rsidRPr="00C25C30" w:rsidRDefault="00C25C30" w:rsidP="00C25C30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29" w:tgtFrame="_blank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Функциональная грамотность 5,7 класс. Опыт системы образования г. Санкт-Петербурга. КИМ, спецификация, кодификаторы</w:t>
        </w:r>
      </w:hyperlink>
    </w:p>
    <w:p w:rsidR="00C25C30" w:rsidRPr="00C25C30" w:rsidRDefault="00C25C30" w:rsidP="00C25C30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0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Оценка читательской грамотности выпускников начальной школы​</w:t>
        </w:r>
      </w:hyperlink>
    </w:p>
    <w:p w:rsidR="00C25C30" w:rsidRPr="00C25C30" w:rsidRDefault="00C25C30" w:rsidP="00C25C30">
      <w:pPr>
        <w:numPr>
          <w:ilvl w:val="0"/>
          <w:numId w:val="3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1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Тесты для оценки уровня финансовой грамотности​</w:t>
        </w:r>
      </w:hyperlink>
    </w:p>
    <w:p w:rsidR="00C25C30" w:rsidRPr="00C25C30" w:rsidRDefault="00C25C30" w:rsidP="00C25C30">
      <w:pPr>
        <w:spacing w:before="450" w:after="300" w:line="240" w:lineRule="auto"/>
        <w:outlineLvl w:val="3"/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</w:pPr>
      <w:r w:rsidRPr="00C25C30">
        <w:rPr>
          <w:rFonts w:ascii="inherit" w:eastAsia="Times New Roman" w:hAnsi="inherit" w:cs="Helvetica"/>
          <w:b/>
          <w:bCs/>
          <w:sz w:val="27"/>
          <w:szCs w:val="27"/>
          <w:lang w:eastAsia="ru-RU"/>
        </w:rPr>
        <w:t>Информационно-методическое сопровождение</w:t>
      </w:r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2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 xml:space="preserve">Формирование функциональной грамотности // Единое содержание общего образования,  </w:t>
        </w:r>
        <w:proofErr w:type="spellStart"/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Минпросвещения</w:t>
        </w:r>
        <w:proofErr w:type="spellEnd"/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 xml:space="preserve"> России</w:t>
        </w:r>
      </w:hyperlink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3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Семинары по функциональной грамотности // ФГБНУ Институт стратегии развития образования российской академии образования</w:t>
        </w:r>
      </w:hyperlink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4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Виртуальная методическая площадка по сопровождению развития функциональной грамотности // АУ "Институт развития образования", ХМАО - Югра</w:t>
        </w:r>
      </w:hyperlink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5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Страницы предметных ГМО на сайте городского сетевого педагогического сообщества </w:t>
        </w:r>
        <w:proofErr w:type="spellStart"/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SurWiki</w:t>
        </w:r>
        <w:proofErr w:type="spellEnd"/>
      </w:hyperlink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6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ФОРМИРОВАНИЕ И ОЦЕНКА ФУНКЦИОНАЛЬНОЙ ГРАМОТНОСТИ УЧАЩИХСЯ // Учебно-методическое пособие</w:t>
        </w:r>
      </w:hyperlink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7" w:history="1">
        <w:r w:rsidRPr="00C25C30">
          <w:rPr>
            <w:rFonts w:ascii="Helvetica" w:eastAsia="Times New Roman" w:hAnsi="Helvetica" w:cs="Helvetica"/>
            <w:color w:val="2A6496"/>
            <w:sz w:val="21"/>
            <w:szCs w:val="21"/>
            <w:u w:val="single"/>
            <w:lang w:eastAsia="ru-RU"/>
          </w:rPr>
          <w:t xml:space="preserve">Просвещение. Поддержка // </w:t>
        </w:r>
        <w:proofErr w:type="spellStart"/>
        <w:r w:rsidRPr="00C25C30">
          <w:rPr>
            <w:rFonts w:ascii="Helvetica" w:eastAsia="Times New Roman" w:hAnsi="Helvetica" w:cs="Helvetica"/>
            <w:color w:val="2A6496"/>
            <w:sz w:val="21"/>
            <w:szCs w:val="21"/>
            <w:u w:val="single"/>
            <w:lang w:eastAsia="ru-RU"/>
          </w:rPr>
          <w:t>Учитель.Club</w:t>
        </w:r>
        <w:proofErr w:type="spellEnd"/>
      </w:hyperlink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8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​Всероссийский форум экспертов по функциональной грамотности. Глобальные компетенции // </w:t>
        </w:r>
        <w:proofErr w:type="spellStart"/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Минпросвещения</w:t>
        </w:r>
        <w:proofErr w:type="spellEnd"/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 xml:space="preserve"> России, ИСРО РАО</w:t>
        </w:r>
      </w:hyperlink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39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​Формирование функциональной грамотности // презентация</w:t>
        </w:r>
      </w:hyperlink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40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​Компетенции "4К": формирование и оценка на уроке. Практические рекомендации // БФ Сбербанка Вклад в будущее</w:t>
        </w:r>
      </w:hyperlink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5C30">
        <w:rPr>
          <w:rFonts w:ascii="Helvetica" w:eastAsia="Times New Roman" w:hAnsi="Helvetica" w:cs="Helvetica"/>
          <w:sz w:val="21"/>
          <w:szCs w:val="21"/>
          <w:lang w:eastAsia="ru-RU"/>
        </w:rPr>
        <w:t>​</w:t>
      </w:r>
      <w:hyperlink r:id="rId41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Методические рекомендации для учителей и родителей // БФ Сбербанка Вклад в будущее</w:t>
        </w:r>
      </w:hyperlink>
    </w:p>
    <w:p w:rsidR="00C25C30" w:rsidRPr="00C25C30" w:rsidRDefault="00C25C30" w:rsidP="00C25C30">
      <w:pPr>
        <w:numPr>
          <w:ilvl w:val="0"/>
          <w:numId w:val="4"/>
        </w:numPr>
        <w:spacing w:before="100" w:beforeAutospacing="1" w:after="100" w:afterAutospacing="1" w:line="330" w:lineRule="atLeast"/>
        <w:ind w:left="495"/>
        <w:rPr>
          <w:rFonts w:ascii="Helvetica" w:eastAsia="Times New Roman" w:hAnsi="Helvetica" w:cs="Helvetica"/>
          <w:sz w:val="21"/>
          <w:szCs w:val="21"/>
          <w:lang w:eastAsia="ru-RU"/>
        </w:rPr>
      </w:pPr>
      <w:hyperlink r:id="rId42" w:history="1">
        <w:r w:rsidRPr="00C25C30">
          <w:rPr>
            <w:rFonts w:ascii="Helvetica" w:eastAsia="Times New Roman" w:hAnsi="Helvetica" w:cs="Helvetica"/>
            <w:color w:val="31548B"/>
            <w:sz w:val="21"/>
            <w:szCs w:val="21"/>
            <w:lang w:eastAsia="ru-RU"/>
          </w:rPr>
          <w:t>​Развитие функциональной грамотности обучающихся основной школы: методическое пособие для педагогов // Самара: СИПКРО</w:t>
        </w:r>
      </w:hyperlink>
    </w:p>
    <w:p w:rsidR="00C25C30" w:rsidRPr="00C25C30" w:rsidRDefault="00C25C30" w:rsidP="00C25C30">
      <w:pPr>
        <w:spacing w:after="0" w:line="240" w:lineRule="auto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43" w:tgtFrame="_self" w:history="1">
        <w:r w:rsidRPr="00C25C30">
          <w:rPr>
            <w:rFonts w:ascii="Times New Roman" w:eastAsia="Times New Roman" w:hAnsi="Times New Roman" w:cs="Times New Roman"/>
            <w:b/>
            <w:bCs/>
            <w:caps/>
            <w:color w:val="FFFFFF"/>
            <w:sz w:val="17"/>
            <w:szCs w:val="17"/>
            <w:lang w:eastAsia="ru-RU"/>
          </w:rPr>
          <w:t>О ЦЕНТРЕ</w:t>
        </w:r>
      </w:hyperlink>
    </w:p>
    <w:p w:rsidR="00C25C30" w:rsidRPr="00C25C30" w:rsidRDefault="00C25C30" w:rsidP="00C25C30">
      <w:pPr>
        <w:numPr>
          <w:ilvl w:val="0"/>
          <w:numId w:val="5"/>
        </w:numPr>
        <w:spacing w:before="100" w:beforeAutospacing="1" w:after="75" w:line="240" w:lineRule="auto"/>
        <w:ind w:left="-225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44" w:tgtFrame="_self" w:history="1"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>Структура учреждения</w:t>
        </w:r>
      </w:hyperlink>
    </w:p>
    <w:p w:rsidR="00C25C30" w:rsidRPr="00C25C30" w:rsidRDefault="00C25C30" w:rsidP="00C25C30">
      <w:pPr>
        <w:numPr>
          <w:ilvl w:val="0"/>
          <w:numId w:val="5"/>
        </w:numPr>
        <w:spacing w:before="100" w:beforeAutospacing="1" w:after="75" w:line="240" w:lineRule="auto"/>
        <w:ind w:left="-225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45" w:tgtFrame="_self" w:history="1">
        <w:proofErr w:type="spellStart"/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>Cведения</w:t>
        </w:r>
        <w:proofErr w:type="spellEnd"/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 xml:space="preserve"> об организации</w:t>
        </w:r>
      </w:hyperlink>
    </w:p>
    <w:p w:rsidR="00C25C30" w:rsidRPr="00C25C30" w:rsidRDefault="00C25C30" w:rsidP="00C25C30">
      <w:pPr>
        <w:numPr>
          <w:ilvl w:val="0"/>
          <w:numId w:val="5"/>
        </w:numPr>
        <w:spacing w:before="100" w:beforeAutospacing="1" w:after="75" w:line="240" w:lineRule="auto"/>
        <w:ind w:left="-225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46" w:tgtFrame="_self" w:history="1"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>Документы</w:t>
        </w:r>
      </w:hyperlink>
    </w:p>
    <w:p w:rsidR="00C25C30" w:rsidRPr="00C25C30" w:rsidRDefault="00C25C30" w:rsidP="00C25C30">
      <w:pPr>
        <w:numPr>
          <w:ilvl w:val="0"/>
          <w:numId w:val="5"/>
        </w:numPr>
        <w:spacing w:before="100" w:beforeAutospacing="1" w:after="75" w:line="240" w:lineRule="auto"/>
        <w:ind w:left="-225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47" w:tgtFrame="_self" w:history="1"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>Публичный доклад</w:t>
        </w:r>
      </w:hyperlink>
    </w:p>
    <w:p w:rsidR="00C25C30" w:rsidRPr="00C25C30" w:rsidRDefault="00C25C30" w:rsidP="00C25C30">
      <w:pPr>
        <w:numPr>
          <w:ilvl w:val="0"/>
          <w:numId w:val="5"/>
        </w:numPr>
        <w:spacing w:before="100" w:beforeAutospacing="1" w:after="75" w:line="240" w:lineRule="auto"/>
        <w:ind w:left="-225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48" w:tgtFrame="_self" w:history="1"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>Антикоррупционная деятельность</w:t>
        </w:r>
      </w:hyperlink>
    </w:p>
    <w:p w:rsidR="00C25C30" w:rsidRPr="00C25C30" w:rsidRDefault="00C25C30" w:rsidP="00C25C30">
      <w:pPr>
        <w:numPr>
          <w:ilvl w:val="0"/>
          <w:numId w:val="5"/>
        </w:numPr>
        <w:spacing w:before="100" w:beforeAutospacing="1" w:after="75" w:line="240" w:lineRule="auto"/>
        <w:ind w:left="-225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49" w:tgtFrame="_self" w:history="1"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>Финансово-хозяйственная деятельность</w:t>
        </w:r>
      </w:hyperlink>
    </w:p>
    <w:p w:rsidR="00C25C30" w:rsidRPr="00C25C30" w:rsidRDefault="00C25C30" w:rsidP="00C25C30">
      <w:pPr>
        <w:numPr>
          <w:ilvl w:val="0"/>
          <w:numId w:val="5"/>
        </w:numPr>
        <w:spacing w:before="100" w:beforeAutospacing="1" w:after="75" w:line="240" w:lineRule="auto"/>
        <w:ind w:left="-225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50" w:tgtFrame="_self" w:history="1"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>Платные услуги</w:t>
        </w:r>
      </w:hyperlink>
    </w:p>
    <w:p w:rsidR="00C25C30" w:rsidRPr="00C25C30" w:rsidRDefault="00C25C30" w:rsidP="00C25C30">
      <w:pPr>
        <w:numPr>
          <w:ilvl w:val="0"/>
          <w:numId w:val="5"/>
        </w:numPr>
        <w:spacing w:before="100" w:beforeAutospacing="1" w:after="75" w:line="240" w:lineRule="auto"/>
        <w:ind w:left="-225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51" w:tgtFrame="_self" w:history="1"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>Результаты проведения СОУТ</w:t>
        </w:r>
      </w:hyperlink>
    </w:p>
    <w:p w:rsidR="00C25C30" w:rsidRPr="00C25C30" w:rsidRDefault="00C25C30" w:rsidP="00C25C30">
      <w:pPr>
        <w:numPr>
          <w:ilvl w:val="0"/>
          <w:numId w:val="5"/>
        </w:numPr>
        <w:spacing w:before="100" w:beforeAutospacing="1" w:after="75" w:line="240" w:lineRule="auto"/>
        <w:ind w:left="-225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52" w:tgtFrame="_self" w:history="1"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>Закупки</w:t>
        </w:r>
      </w:hyperlink>
    </w:p>
    <w:p w:rsidR="00C25C30" w:rsidRPr="00C25C30" w:rsidRDefault="00C25C30" w:rsidP="00C25C30">
      <w:pPr>
        <w:numPr>
          <w:ilvl w:val="0"/>
          <w:numId w:val="5"/>
        </w:numPr>
        <w:spacing w:before="100" w:beforeAutospacing="1" w:after="75" w:line="240" w:lineRule="auto"/>
        <w:ind w:left="-225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53" w:tgtFrame="_self" w:history="1">
        <w:r w:rsidRPr="00C25C30">
          <w:rPr>
            <w:rFonts w:ascii="Times New Roman" w:eastAsia="Times New Roman" w:hAnsi="Times New Roman" w:cs="Times New Roman"/>
            <w:color w:val="FFFFFF"/>
            <w:sz w:val="20"/>
            <w:szCs w:val="20"/>
            <w:lang w:eastAsia="ru-RU"/>
          </w:rPr>
          <w:t>COVID-19</w:t>
        </w:r>
      </w:hyperlink>
    </w:p>
    <w:p w:rsidR="00C25C30" w:rsidRPr="00C25C30" w:rsidRDefault="00C25C30" w:rsidP="00C25C30">
      <w:pPr>
        <w:spacing w:after="0" w:line="240" w:lineRule="auto"/>
        <w:rPr>
          <w:rFonts w:ascii="Times New Roman" w:eastAsia="Times New Roman" w:hAnsi="Times New Roman" w:cs="Times New Roman"/>
          <w:color w:val="E9ECF1"/>
          <w:sz w:val="24"/>
          <w:szCs w:val="24"/>
          <w:lang w:eastAsia="ru-RU"/>
        </w:rPr>
      </w:pPr>
      <w:hyperlink r:id="rId54" w:tgtFrame="_self" w:history="1">
        <w:r w:rsidRPr="00C25C30">
          <w:rPr>
            <w:rFonts w:ascii="Times New Roman" w:eastAsia="Times New Roman" w:hAnsi="Times New Roman" w:cs="Times New Roman"/>
            <w:b/>
            <w:bCs/>
            <w:caps/>
            <w:color w:val="FFFFFF"/>
            <w:sz w:val="17"/>
            <w:szCs w:val="17"/>
            <w:lang w:eastAsia="ru-RU"/>
          </w:rPr>
          <w:t>ПЕДАГОГАМ</w:t>
        </w:r>
      </w:hyperlink>
    </w:p>
    <w:p w:rsidR="00C25C30" w:rsidRPr="00C25C30" w:rsidRDefault="00C25C30" w:rsidP="00C25C30">
      <w:pPr>
        <w:numPr>
          <w:ilvl w:val="0"/>
          <w:numId w:val="6"/>
        </w:numPr>
        <w:spacing w:before="100" w:beforeAutospacing="1" w:after="75" w:line="240" w:lineRule="auto"/>
        <w:ind w:left="-225" w:firstLine="0"/>
        <w:rPr>
          <w:rFonts w:ascii="Arial" w:eastAsia="Times New Roman" w:hAnsi="Arial" w:cs="Arial"/>
          <w:color w:val="E9ECF1"/>
          <w:sz w:val="20"/>
          <w:szCs w:val="20"/>
          <w:lang w:eastAsia="ru-RU"/>
        </w:rPr>
      </w:pPr>
      <w:hyperlink r:id="rId55" w:tgtFrame="_self" w:history="1">
        <w:r w:rsidRPr="00C25C30">
          <w:rPr>
            <w:rFonts w:ascii="Arial" w:eastAsia="Times New Roman" w:hAnsi="Arial" w:cs="Arial"/>
            <w:color w:val="FFFFFF"/>
            <w:sz w:val="20"/>
            <w:szCs w:val="20"/>
            <w:lang w:eastAsia="ru-RU"/>
          </w:rPr>
          <w:t>Доска почёта педагогических работников</w:t>
        </w:r>
      </w:hyperlink>
    </w:p>
    <w:p w:rsidR="009C0E12" w:rsidRDefault="009C0E12"/>
    <w:sectPr w:rsidR="009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ADA"/>
    <w:multiLevelType w:val="multilevel"/>
    <w:tmpl w:val="EE42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632A2"/>
    <w:multiLevelType w:val="multilevel"/>
    <w:tmpl w:val="7B4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2ED6"/>
    <w:multiLevelType w:val="multilevel"/>
    <w:tmpl w:val="2E5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32F57"/>
    <w:multiLevelType w:val="multilevel"/>
    <w:tmpl w:val="D63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C01C7"/>
    <w:multiLevelType w:val="multilevel"/>
    <w:tmpl w:val="A166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7321D"/>
    <w:multiLevelType w:val="multilevel"/>
    <w:tmpl w:val="7CB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A6"/>
    <w:rsid w:val="009C0E12"/>
    <w:rsid w:val="00BA1AA6"/>
    <w:rsid w:val="00C2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C6BD"/>
  <w15:chartTrackingRefBased/>
  <w15:docId w15:val="{A5CE4197-9312-4FDC-A0A0-FDDE1FA3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62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c.admsurgut.ru/storage/app/media/Funkc.gram/eds-prikaz-ob-utverzhdenii-regionalnogo-plana-meropriyatiydocx.pdf" TargetMode="External"/><Relationship Id="rId18" Type="http://schemas.openxmlformats.org/officeDocument/2006/relationships/hyperlink" Target="http://imc.admsurgut.ru/storage/app/media/Funkc.gram/eds-prikaz-ob-utverzhdenii-regionalnogo-plana-meropriyatiydocx.pdf" TargetMode="External"/><Relationship Id="rId26" Type="http://schemas.openxmlformats.org/officeDocument/2006/relationships/hyperlink" Target="http://center-imc.ru/wp-content/uploads/2020/02/10120.pdf" TargetMode="External"/><Relationship Id="rId39" Type="http://schemas.openxmlformats.org/officeDocument/2006/relationships/hyperlink" Target="http://imc.admsurgut.ru/storage/app/media/Funkc.gram/funktsionalnoy-gramotnosti.pdf" TargetMode="External"/><Relationship Id="rId21" Type="http://schemas.openxmlformats.org/officeDocument/2006/relationships/hyperlink" Target="http://imc.admsurgut.ru/storage/app/media/Raimb/do-ag-12-03-712-na-2022-23-uchg.pdf" TargetMode="External"/><Relationship Id="rId34" Type="http://schemas.openxmlformats.org/officeDocument/2006/relationships/hyperlink" Target="https://www.iro86.ru/index.php/2015-04-23-09-26-58/1456-funktsionalnaya-gramotnost" TargetMode="External"/><Relationship Id="rId42" Type="http://schemas.openxmlformats.org/officeDocument/2006/relationships/hyperlink" Target="http://imc.admsurgut.ru/storage/app/media/Funkc.gram/fg_sipkro.pdf" TargetMode="External"/><Relationship Id="rId47" Type="http://schemas.openxmlformats.org/officeDocument/2006/relationships/hyperlink" Target="http://imc.admsurgut.ru/publichnyj-doklad" TargetMode="External"/><Relationship Id="rId50" Type="http://schemas.openxmlformats.org/officeDocument/2006/relationships/hyperlink" Target="http://imc.admsurgut.ru/platnye-uslugi" TargetMode="External"/><Relationship Id="rId55" Type="http://schemas.openxmlformats.org/officeDocument/2006/relationships/hyperlink" Target="http://doska-pocheta-surgut.tilda.ws/" TargetMode="External"/><Relationship Id="rId7" Type="http://schemas.openxmlformats.org/officeDocument/2006/relationships/hyperlink" Target="https://disk.yandex.ru/i/u1n_17HafbgrLQ" TargetMode="External"/><Relationship Id="rId12" Type="http://schemas.openxmlformats.org/officeDocument/2006/relationships/hyperlink" Target="http://imc.admsurgut.ru/storage/app/media/Funkc.gram/eds-prikaz-ob-organizatsii-raboty-po-povysheniyu-funktsionalnoy-gramotnostidocx.pdf" TargetMode="External"/><Relationship Id="rId17" Type="http://schemas.openxmlformats.org/officeDocument/2006/relationships/hyperlink" Target="http://imc.admsurgut.ru/storage/app/media/Raimb/doin-10-p-1857-plan-na-2022-23-uchg.pdf" TargetMode="External"/><Relationship Id="rId25" Type="http://schemas.openxmlformats.org/officeDocument/2006/relationships/hyperlink" Target="https://media.prosv.ru/fg/" TargetMode="External"/><Relationship Id="rId33" Type="http://schemas.openxmlformats.org/officeDocument/2006/relationships/hyperlink" Target="https://www.youtube.com/playlist?list=PLKLyHWrXJxNNr_WObG9jpqxzAitx9TAkO" TargetMode="External"/><Relationship Id="rId38" Type="http://schemas.openxmlformats.org/officeDocument/2006/relationships/hyperlink" Target="http://imc.admsurgut.ru/storage/app/media/Funkc.gram/globalnye-kompetentsii.pdf" TargetMode="External"/><Relationship Id="rId46" Type="http://schemas.openxmlformats.org/officeDocument/2006/relationships/hyperlink" Target="http://imc.admsurgut.ru/dokumenty" TargetMode="External"/><Relationship Id="rId2" Type="http://schemas.openxmlformats.org/officeDocument/2006/relationships/styles" Target="styles.xml"/><Relationship Id="rId16" Type="http://schemas.openxmlformats.org/officeDocument/2006/relationships/hyperlink" Target="http://imc.admsurgut.ru/storage/app/media/Raimb/doin-regionalnye-stazhirovochnye-ploshchadki.pdf" TargetMode="External"/><Relationship Id="rId20" Type="http://schemas.openxmlformats.org/officeDocument/2006/relationships/hyperlink" Target="http://imc.admsurgut.ru/storage/app/media/Funkc.gram/12-03-936-30122021-do-izmeneniya-v-dk-po-fg.pdf" TargetMode="External"/><Relationship Id="rId29" Type="http://schemas.openxmlformats.org/officeDocument/2006/relationships/hyperlink" Target="https://monitoring.spbcokoit.ru/procedure/1043/" TargetMode="External"/><Relationship Id="rId41" Type="http://schemas.openxmlformats.org/officeDocument/2006/relationships/hyperlink" Target="http://imc.admsurgut.ru/storage/app/media/Funkc.gram/metodicheskie_rekomendacii_dlja_uchitelej_i_rodite.pdf" TargetMode="External"/><Relationship Id="rId54" Type="http://schemas.openxmlformats.org/officeDocument/2006/relationships/hyperlink" Target="http://imc.admsurgut.ru/pedagog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TWe2K_-eLRGeTA" TargetMode="External"/><Relationship Id="rId11" Type="http://schemas.openxmlformats.org/officeDocument/2006/relationships/hyperlink" Target="http://imc.admsurgut.ru/storage/app/media/Funkc.gram/eds-prikaz-ob-organizatsii-raboty-po-povysheniyu-funktsionalnoy-gramotnostidocx.pdf" TargetMode="External"/><Relationship Id="rId24" Type="http://schemas.openxmlformats.org/officeDocument/2006/relationships/hyperlink" Target="http://imc.admsurgut.ru/storage/app/media/Funkc.gram/Prilozhieniie_Instruktsiia_po_rabotie_s_bankom_FG.pptx" TargetMode="External"/><Relationship Id="rId32" Type="http://schemas.openxmlformats.org/officeDocument/2006/relationships/hyperlink" Target="https://edsoo.ru/Funkcionalnaya_gramotnost.htm" TargetMode="External"/><Relationship Id="rId37" Type="http://schemas.openxmlformats.org/officeDocument/2006/relationships/hyperlink" Target="https://uchitel.club/" TargetMode="External"/><Relationship Id="rId40" Type="http://schemas.openxmlformats.org/officeDocument/2006/relationships/hyperlink" Target="http://imc.admsurgut.ru/storage/app/media/Funkc.gram/rekomendatsii-kompetentsii-formirovanie-i-otsenka-na-uroke.pdf" TargetMode="External"/><Relationship Id="rId45" Type="http://schemas.openxmlformats.org/officeDocument/2006/relationships/hyperlink" Target="http://imc.admsurgut.ru/cvedeniya-ob-organizacii" TargetMode="External"/><Relationship Id="rId53" Type="http://schemas.openxmlformats.org/officeDocument/2006/relationships/hyperlink" Target="http://imc.admsurgut.ru/covid-19" TargetMode="External"/><Relationship Id="rId5" Type="http://schemas.openxmlformats.org/officeDocument/2006/relationships/hyperlink" Target="https://disk.yandex.ru/i/8kO1QBjAFyLEcw" TargetMode="External"/><Relationship Id="rId15" Type="http://schemas.openxmlformats.org/officeDocument/2006/relationships/hyperlink" Target="http://imc.admsurgut.ru/storage/app/media/Funkc.gram/10-p-583-110422-eds-o-stazhploshchadkakh-po-fgdocx.pdf" TargetMode="External"/><Relationship Id="rId23" Type="http://schemas.openxmlformats.org/officeDocument/2006/relationships/hyperlink" Target="https://resh.edu.ru/instruction" TargetMode="External"/><Relationship Id="rId28" Type="http://schemas.openxmlformats.org/officeDocument/2006/relationships/hyperlink" Target="https://myshop.ru/shop/product/4539226.htm" TargetMode="External"/><Relationship Id="rId36" Type="http://schemas.openxmlformats.org/officeDocument/2006/relationships/hyperlink" Target="https://edu.kpfu.ru/pluginfile.php/792622/mod_resource/intro/%D0%A2%D0%B5%D0%BC%D0%B0%208%20%D0%98.%D0%AE.%D0%90%D0%BB%D0%B5%D0%BA%D1%81%D0%B0%D1%88%D0%B8%D0%BD%D0%B0.%20%D0%A4%D0%BE%D1%80%D0%BC%D0%B8%D1%80%D0%BE%D0%B2%D0%B0%D0%BD%D0%B8%D0%B5%20%D0%B8%20%D0%BE%D1%86%D0%B5%D0%BD%D0%BA%D0%B0%20%D0%A4%D0%93%20%D1%83%D1%87%D0%B0%D1%89%D0%B8%D1%85%D1%81%D1%8F.pdf" TargetMode="External"/><Relationship Id="rId49" Type="http://schemas.openxmlformats.org/officeDocument/2006/relationships/hyperlink" Target="http://imc.admsurgut.ru/svedeniya-ob-obrazovatelnoj-organizacii/finansovo-hozyajstvennaya-deyatelnos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imc.admsurgut.ru/storage/app/media/Funkc.gram/03-1526.pdf" TargetMode="External"/><Relationship Id="rId19" Type="http://schemas.openxmlformats.org/officeDocument/2006/relationships/hyperlink" Target="http://imc.admsurgut.ru/storage/app/media/Funkc.gram/12-03-591_17.09.21.pdf" TargetMode="External"/><Relationship Id="rId31" Type="http://schemas.openxmlformats.org/officeDocument/2006/relationships/hyperlink" Target="http://finance.instrao.ru/fin/" TargetMode="External"/><Relationship Id="rId44" Type="http://schemas.openxmlformats.org/officeDocument/2006/relationships/hyperlink" Target="http://imc.admsurgut.ru/struktura-uchrezhdeniya" TargetMode="External"/><Relationship Id="rId52" Type="http://schemas.openxmlformats.org/officeDocument/2006/relationships/hyperlink" Target="http://imc.admsurgut.ru/zakup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.admsurgut.ru/storage/app/media/Funkc.gram/581-03-ot-15092021-1.pdf" TargetMode="External"/><Relationship Id="rId14" Type="http://schemas.openxmlformats.org/officeDocument/2006/relationships/hyperlink" Target="http://imc.admsurgut.ru/storage/app/media/Funkc.gram/eds-prikaz-o-vnesenii-izmeneniy-v-prikaz-po-rdk-funktsionalnaya-gramotnostdocx.pdf" TargetMode="External"/><Relationship Id="rId22" Type="http://schemas.openxmlformats.org/officeDocument/2006/relationships/hyperlink" Target="http://imc.admsurgut.ru/storage/app/media/Funkc.gram/12-03-936-30122021-do-izmeneniya-v-dk-po-fg.pdf" TargetMode="External"/><Relationship Id="rId27" Type="http://schemas.openxmlformats.org/officeDocument/2006/relationships/hyperlink" Target="https://fioco.ru/%D0%BF%D1%80%D0%B8%D0%BC%D0%B5%D1%80%D1%8B-%D0%B7%D0%B0%D0%B4%D0%B0%D1%87-pisa" TargetMode="External"/><Relationship Id="rId30" Type="http://schemas.openxmlformats.org/officeDocument/2006/relationships/hyperlink" Target="http://www.centeroko.ru/reading/rl.html" TargetMode="External"/><Relationship Id="rId35" Type="http://schemas.openxmlformats.org/officeDocument/2006/relationships/hyperlink" Target="https://www.surwiki.admsurgut.ru/wiki/index.php?title=SurWiki:%D0%9F%D0%BE%D1%80%D1%82%D0%B0%D0%BB_%D1%81%D0%BE%D0%BE%D0%B1%D1%89%D0%B5%D1%81%D1%82%D0%B2%D0%B0" TargetMode="External"/><Relationship Id="rId43" Type="http://schemas.openxmlformats.org/officeDocument/2006/relationships/hyperlink" Target="http://imc.admsurgut.ru/o-centre" TargetMode="External"/><Relationship Id="rId48" Type="http://schemas.openxmlformats.org/officeDocument/2006/relationships/hyperlink" Target="http://imc.admsurgut.ru/protivodejstvie-nezakonnomu-sboru-denezhnyh-sredstv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mc.admsurgut.ru/storage/app/media/Funkc.gram/03-1510-ot-14092021-2.pdf" TargetMode="External"/><Relationship Id="rId51" Type="http://schemas.openxmlformats.org/officeDocument/2006/relationships/hyperlink" Target="http://imc.admsurgut.ru/rezultaty-provedeiya-sou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2022-10-19T11:59:00Z</dcterms:created>
  <dcterms:modified xsi:type="dcterms:W3CDTF">2022-10-19T12:00:00Z</dcterms:modified>
</cp:coreProperties>
</file>